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0BA" w:rsidRPr="00DD656C" w:rsidRDefault="00643F5E">
      <w:pPr>
        <w:spacing w:after="0" w:line="259" w:lineRule="auto"/>
        <w:ind w:left="0" w:right="43" w:firstLine="0"/>
        <w:jc w:val="center"/>
        <w:rPr>
          <w:sz w:val="24"/>
          <w:szCs w:val="24"/>
        </w:rPr>
      </w:pPr>
      <w:r w:rsidRPr="00DD656C">
        <w:rPr>
          <w:b/>
          <w:sz w:val="24"/>
          <w:szCs w:val="24"/>
          <w:u w:val="single" w:color="000000"/>
        </w:rPr>
        <w:t>MEMORIAL DESCRITIVO</w:t>
      </w:r>
    </w:p>
    <w:p w:rsidR="003510BA" w:rsidRPr="00DD656C" w:rsidRDefault="003510BA">
      <w:pPr>
        <w:spacing w:after="0" w:line="259" w:lineRule="auto"/>
        <w:ind w:left="0" w:right="43" w:firstLine="0"/>
        <w:jc w:val="center"/>
        <w:rPr>
          <w:b/>
          <w:color w:val="auto"/>
          <w:sz w:val="24"/>
          <w:szCs w:val="24"/>
        </w:rPr>
      </w:pPr>
    </w:p>
    <w:p w:rsidR="003510BA" w:rsidRPr="00BD1B7A" w:rsidRDefault="00643F5E">
      <w:pPr>
        <w:spacing w:after="0"/>
        <w:ind w:left="0" w:firstLine="0"/>
        <w:rPr>
          <w:szCs w:val="24"/>
        </w:rPr>
      </w:pPr>
      <w:r w:rsidRPr="00BD1B7A">
        <w:rPr>
          <w:b/>
          <w:szCs w:val="24"/>
        </w:rPr>
        <w:t>Obra:</w:t>
      </w:r>
      <w:r w:rsidRPr="00BD1B7A">
        <w:rPr>
          <w:szCs w:val="24"/>
        </w:rPr>
        <w:t xml:space="preserve"> </w:t>
      </w:r>
      <w:r w:rsidR="00BD1B7A" w:rsidRPr="00BD1B7A">
        <w:rPr>
          <w:szCs w:val="24"/>
        </w:rPr>
        <w:t>Reparo de cobertura da área administrativa</w:t>
      </w:r>
    </w:p>
    <w:p w:rsidR="00361DD1" w:rsidRPr="00BD1B7A" w:rsidRDefault="00643F5E" w:rsidP="00361DD1">
      <w:pPr>
        <w:spacing w:after="0"/>
        <w:ind w:left="0" w:firstLine="0"/>
        <w:jc w:val="left"/>
        <w:rPr>
          <w:szCs w:val="24"/>
        </w:rPr>
      </w:pPr>
      <w:r w:rsidRPr="00BD1B7A">
        <w:rPr>
          <w:b/>
          <w:szCs w:val="24"/>
        </w:rPr>
        <w:t>Local:</w:t>
      </w:r>
      <w:r w:rsidRPr="00BD1B7A">
        <w:rPr>
          <w:szCs w:val="24"/>
        </w:rPr>
        <w:t xml:space="preserve"> </w:t>
      </w:r>
      <w:r w:rsidR="00361DD1" w:rsidRPr="00BD1B7A">
        <w:rPr>
          <w:szCs w:val="24"/>
        </w:rPr>
        <w:t xml:space="preserve">Usina de compostagem de lixo, -21.78066441125161, </w:t>
      </w:r>
    </w:p>
    <w:p w:rsidR="003510BA" w:rsidRPr="00BD1B7A" w:rsidRDefault="00361DD1" w:rsidP="00361DD1">
      <w:pPr>
        <w:spacing w:after="0"/>
        <w:ind w:left="0" w:firstLine="0"/>
        <w:jc w:val="left"/>
        <w:rPr>
          <w:szCs w:val="24"/>
        </w:rPr>
      </w:pPr>
      <w:r w:rsidRPr="00BD1B7A">
        <w:rPr>
          <w:szCs w:val="24"/>
        </w:rPr>
        <w:t>-48.78971868919137</w:t>
      </w:r>
    </w:p>
    <w:p w:rsidR="003510BA" w:rsidRPr="00BD1B7A" w:rsidRDefault="003510BA">
      <w:pPr>
        <w:spacing w:after="0"/>
        <w:ind w:left="0" w:firstLine="0"/>
        <w:rPr>
          <w:szCs w:val="24"/>
        </w:rPr>
      </w:pPr>
    </w:p>
    <w:p w:rsidR="003510BA" w:rsidRPr="00BD1B7A" w:rsidRDefault="00643F5E">
      <w:pPr>
        <w:ind w:left="0" w:right="-27" w:firstLine="0"/>
        <w:rPr>
          <w:szCs w:val="24"/>
        </w:rPr>
      </w:pPr>
      <w:r w:rsidRPr="00BD1B7A">
        <w:rPr>
          <w:szCs w:val="24"/>
        </w:rPr>
        <w:t xml:space="preserve">Informando que: </w:t>
      </w:r>
    </w:p>
    <w:p w:rsidR="003510BA" w:rsidRPr="00BD1B7A" w:rsidRDefault="00643F5E">
      <w:pPr>
        <w:ind w:left="0" w:right="-27" w:firstLine="0"/>
        <w:rPr>
          <w:szCs w:val="24"/>
        </w:rPr>
      </w:pPr>
      <w:r w:rsidRPr="00BD1B7A">
        <w:rPr>
          <w:szCs w:val="24"/>
        </w:rPr>
        <w:t xml:space="preserve">Os serviços contratados deverão ser rigorosamente executados de acordo com a boa técnica, normas pertinentes e os projetos apresentados. Os direitos e obrigações da Construtora e Fornecedores serão perfeitamente definidos em todos os casos mediante editais e a posteriori, por contratos específicos. </w:t>
      </w:r>
    </w:p>
    <w:p w:rsidR="004A79D3" w:rsidRPr="00BD1B7A" w:rsidRDefault="004A79D3" w:rsidP="004A79D3">
      <w:pPr>
        <w:spacing w:after="0" w:line="259" w:lineRule="auto"/>
        <w:ind w:right="-28"/>
        <w:rPr>
          <w:b/>
          <w:bCs/>
          <w:szCs w:val="24"/>
        </w:rPr>
      </w:pPr>
    </w:p>
    <w:p w:rsidR="00DD656C" w:rsidRPr="00BD1B7A" w:rsidRDefault="00DD656C" w:rsidP="00BD1B7A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b/>
          <w:color w:val="auto"/>
          <w:szCs w:val="24"/>
        </w:rPr>
      </w:pPr>
      <w:r w:rsidRPr="00BD1B7A">
        <w:rPr>
          <w:b/>
          <w:color w:val="auto"/>
          <w:szCs w:val="24"/>
        </w:rPr>
        <w:t>1.0 SERVIÇOS PRELIMINARES</w:t>
      </w:r>
    </w:p>
    <w:p w:rsidR="003510BA" w:rsidRPr="00BD1B7A" w:rsidRDefault="00DD656C" w:rsidP="00DD656C">
      <w:pPr>
        <w:pStyle w:val="PargrafodaLista"/>
        <w:numPr>
          <w:ilvl w:val="1"/>
          <w:numId w:val="3"/>
        </w:numPr>
        <w:spacing w:after="3" w:line="259" w:lineRule="auto"/>
        <w:ind w:right="590"/>
        <w:jc w:val="left"/>
        <w:rPr>
          <w:b/>
          <w:bCs/>
          <w:szCs w:val="24"/>
        </w:rPr>
      </w:pPr>
      <w:r w:rsidRPr="00BD1B7A">
        <w:rPr>
          <w:b/>
          <w:bCs/>
          <w:szCs w:val="24"/>
        </w:rPr>
        <w:t>Retirada De Estrutura Em Madeira Pontaletada - 04.02.110 Telhas Perfil Qualquer</w:t>
      </w:r>
    </w:p>
    <w:p w:rsidR="00DD656C" w:rsidRPr="00BD1B7A" w:rsidRDefault="00DD656C" w:rsidP="00DD656C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rPr>
          <w:color w:val="auto"/>
          <w:szCs w:val="24"/>
        </w:rPr>
      </w:pPr>
      <w:r w:rsidRPr="00BD1B7A">
        <w:rPr>
          <w:color w:val="auto"/>
          <w:szCs w:val="24"/>
        </w:rPr>
        <w:t>Será medido pela área de cobertura em projeção horizontal (m²). O item remunera o fornecimento da mão-de-obra necessária para a retirada completa da estrutura de madeira, pontaletada, para telhas de qualquer perfil, a seleção e a guarda das peças reaproveitáveis.</w:t>
      </w:r>
    </w:p>
    <w:p w:rsidR="00DD656C" w:rsidRPr="00BD1B7A" w:rsidRDefault="00DD656C" w:rsidP="00DD656C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jc w:val="left"/>
        <w:rPr>
          <w:bCs/>
          <w:szCs w:val="24"/>
        </w:rPr>
      </w:pPr>
    </w:p>
    <w:p w:rsidR="00DD656C" w:rsidRPr="00BD1B7A" w:rsidRDefault="00DD656C" w:rsidP="00DD656C">
      <w:pPr>
        <w:pStyle w:val="PargrafodaLista"/>
        <w:numPr>
          <w:ilvl w:val="1"/>
          <w:numId w:val="3"/>
        </w:numPr>
        <w:spacing w:after="3" w:line="259" w:lineRule="auto"/>
        <w:ind w:right="590"/>
        <w:jc w:val="left"/>
        <w:rPr>
          <w:b/>
          <w:bCs/>
          <w:szCs w:val="24"/>
        </w:rPr>
      </w:pPr>
      <w:r w:rsidRPr="00BD1B7A">
        <w:rPr>
          <w:b/>
          <w:bCs/>
          <w:szCs w:val="24"/>
        </w:rPr>
        <w:t>Retirada De Folha De Esquadria Em Madeira</w:t>
      </w:r>
    </w:p>
    <w:p w:rsidR="00DD656C" w:rsidRPr="00BD1B7A" w:rsidRDefault="00DD656C" w:rsidP="00DD656C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rPr>
          <w:color w:val="auto"/>
          <w:szCs w:val="24"/>
        </w:rPr>
      </w:pPr>
      <w:r w:rsidRPr="00BD1B7A">
        <w:rPr>
          <w:color w:val="auto"/>
          <w:szCs w:val="24"/>
        </w:rPr>
        <w:t>Será medido por unidade retirada (</w:t>
      </w:r>
      <w:proofErr w:type="spellStart"/>
      <w:r w:rsidRPr="00BD1B7A">
        <w:rPr>
          <w:color w:val="auto"/>
          <w:szCs w:val="24"/>
        </w:rPr>
        <w:t>un</w:t>
      </w:r>
      <w:proofErr w:type="spellEnd"/>
      <w:r w:rsidRPr="00BD1B7A">
        <w:rPr>
          <w:color w:val="auto"/>
          <w:szCs w:val="24"/>
        </w:rPr>
        <w:t>). O item remunera o fornecimento de mão de obra necessária para a retirada de folha de esquadria em madeira, a seleção e a guarda das peças reaproveitáveis.</w:t>
      </w:r>
    </w:p>
    <w:p w:rsidR="00DD656C" w:rsidRPr="00BD1B7A" w:rsidRDefault="00DD656C" w:rsidP="00DD656C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jc w:val="left"/>
        <w:rPr>
          <w:color w:val="auto"/>
          <w:szCs w:val="24"/>
        </w:rPr>
      </w:pPr>
    </w:p>
    <w:p w:rsidR="00DD656C" w:rsidRPr="00BD1B7A" w:rsidRDefault="00DD656C" w:rsidP="00BD1B7A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b/>
          <w:color w:val="auto"/>
          <w:szCs w:val="24"/>
        </w:rPr>
      </w:pPr>
      <w:r w:rsidRPr="00BD1B7A">
        <w:rPr>
          <w:b/>
          <w:color w:val="auto"/>
          <w:szCs w:val="24"/>
        </w:rPr>
        <w:t>2.0 TELHADO</w:t>
      </w:r>
    </w:p>
    <w:p w:rsidR="00DD656C" w:rsidRPr="00BD1B7A" w:rsidRDefault="00DD656C" w:rsidP="00BD1B7A">
      <w:pPr>
        <w:suppressAutoHyphens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b/>
          <w:color w:val="auto"/>
          <w:szCs w:val="24"/>
        </w:rPr>
      </w:pPr>
      <w:r w:rsidRPr="00BD1B7A">
        <w:rPr>
          <w:b/>
          <w:color w:val="auto"/>
          <w:szCs w:val="24"/>
        </w:rPr>
        <w:t>2.1 Estrutura Pontaletada 15.01.220 Para Telhas Onduladas</w:t>
      </w:r>
    </w:p>
    <w:p w:rsidR="00DD656C" w:rsidRDefault="00DD656C" w:rsidP="00BD1B7A">
      <w:pPr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rPr>
          <w:color w:val="auto"/>
          <w:szCs w:val="24"/>
        </w:rPr>
      </w:pPr>
      <w:r w:rsidRPr="00BD1B7A">
        <w:rPr>
          <w:color w:val="auto"/>
          <w:szCs w:val="24"/>
        </w:rPr>
        <w:t xml:space="preserve">Será medido pela área de projeção horizontal da estrutura (m²). O item remunera o fornecimento de: madeira seca maciça, referência </w:t>
      </w:r>
      <w:proofErr w:type="spellStart"/>
      <w:r w:rsidRPr="00BD1B7A">
        <w:rPr>
          <w:color w:val="auto"/>
          <w:szCs w:val="24"/>
        </w:rPr>
        <w:t>Goupia</w:t>
      </w:r>
      <w:proofErr w:type="spellEnd"/>
      <w:r w:rsidRPr="00BD1B7A">
        <w:rPr>
          <w:color w:val="auto"/>
          <w:szCs w:val="24"/>
        </w:rPr>
        <w:t xml:space="preserve"> glabra (conhecida como </w:t>
      </w:r>
      <w:proofErr w:type="spellStart"/>
      <w:r w:rsidRPr="00BD1B7A">
        <w:rPr>
          <w:color w:val="auto"/>
          <w:szCs w:val="24"/>
        </w:rPr>
        <w:t>Cupiúba</w:t>
      </w:r>
      <w:proofErr w:type="spellEnd"/>
      <w:r w:rsidRPr="00BD1B7A">
        <w:rPr>
          <w:color w:val="auto"/>
          <w:szCs w:val="24"/>
        </w:rPr>
        <w:t xml:space="preserve">), ou </w:t>
      </w:r>
      <w:proofErr w:type="spellStart"/>
      <w:r w:rsidRPr="00BD1B7A">
        <w:rPr>
          <w:color w:val="auto"/>
          <w:szCs w:val="24"/>
        </w:rPr>
        <w:t>Erisma</w:t>
      </w:r>
      <w:proofErr w:type="spellEnd"/>
      <w:r w:rsidRPr="00BD1B7A">
        <w:rPr>
          <w:color w:val="auto"/>
          <w:szCs w:val="24"/>
        </w:rPr>
        <w:t xml:space="preserve"> </w:t>
      </w:r>
      <w:proofErr w:type="spellStart"/>
      <w:r w:rsidRPr="00BD1B7A">
        <w:rPr>
          <w:color w:val="auto"/>
          <w:szCs w:val="24"/>
        </w:rPr>
        <w:t>uncinatum</w:t>
      </w:r>
      <w:proofErr w:type="spellEnd"/>
      <w:r w:rsidRPr="00BD1B7A">
        <w:rPr>
          <w:color w:val="auto"/>
          <w:szCs w:val="24"/>
        </w:rPr>
        <w:t xml:space="preserve"> (conhecido como </w:t>
      </w:r>
      <w:proofErr w:type="spellStart"/>
      <w:r w:rsidRPr="00BD1B7A">
        <w:rPr>
          <w:color w:val="auto"/>
          <w:szCs w:val="24"/>
        </w:rPr>
        <w:t>Quarubarana</w:t>
      </w:r>
      <w:proofErr w:type="spellEnd"/>
      <w:r w:rsidRPr="00BD1B7A">
        <w:rPr>
          <w:color w:val="auto"/>
          <w:szCs w:val="24"/>
        </w:rPr>
        <w:t xml:space="preserve"> ou Cedrinho), ou </w:t>
      </w:r>
      <w:proofErr w:type="spellStart"/>
      <w:r w:rsidRPr="00BD1B7A">
        <w:rPr>
          <w:color w:val="auto"/>
          <w:szCs w:val="24"/>
        </w:rPr>
        <w:t>Qualea</w:t>
      </w:r>
      <w:proofErr w:type="spellEnd"/>
      <w:r w:rsidRPr="00BD1B7A">
        <w:rPr>
          <w:color w:val="auto"/>
          <w:szCs w:val="24"/>
        </w:rPr>
        <w:t xml:space="preserve"> </w:t>
      </w:r>
      <w:proofErr w:type="spellStart"/>
      <w:r w:rsidRPr="00BD1B7A">
        <w:rPr>
          <w:color w:val="auto"/>
          <w:szCs w:val="24"/>
        </w:rPr>
        <w:t>spp</w:t>
      </w:r>
      <w:proofErr w:type="spellEnd"/>
      <w:r w:rsidRPr="00BD1B7A">
        <w:rPr>
          <w:color w:val="auto"/>
          <w:szCs w:val="24"/>
        </w:rPr>
        <w:t xml:space="preserve"> (conhecida como Cambará), ou </w:t>
      </w:r>
      <w:proofErr w:type="spellStart"/>
      <w:r w:rsidRPr="00BD1B7A">
        <w:rPr>
          <w:color w:val="auto"/>
          <w:szCs w:val="24"/>
        </w:rPr>
        <w:t>Manilkara</w:t>
      </w:r>
      <w:proofErr w:type="spellEnd"/>
      <w:r w:rsidRPr="00BD1B7A">
        <w:rPr>
          <w:color w:val="auto"/>
          <w:szCs w:val="24"/>
        </w:rPr>
        <w:t xml:space="preserve"> </w:t>
      </w:r>
      <w:proofErr w:type="spellStart"/>
      <w:r w:rsidRPr="00BD1B7A">
        <w:rPr>
          <w:color w:val="auto"/>
          <w:szCs w:val="24"/>
        </w:rPr>
        <w:t>spp</w:t>
      </w:r>
      <w:proofErr w:type="spellEnd"/>
      <w:r w:rsidRPr="00BD1B7A">
        <w:rPr>
          <w:color w:val="auto"/>
          <w:szCs w:val="24"/>
        </w:rPr>
        <w:t xml:space="preserve"> (conhecida também como Maçaranduba), ou outra madeira equivalente classificada conforme a resistência à compressão paralela às fibras de acordo com a NBR 7190, livre de esmagamentos, isenta de defeitos como nós, fendas ou rachaduras, arqueamento, sinais de deterioração por insetos ou fungos, </w:t>
      </w:r>
      <w:proofErr w:type="spellStart"/>
      <w:r w:rsidRPr="00BD1B7A">
        <w:rPr>
          <w:color w:val="auto"/>
          <w:szCs w:val="24"/>
        </w:rPr>
        <w:t>desbitolamento</w:t>
      </w:r>
      <w:proofErr w:type="spellEnd"/>
      <w:r w:rsidRPr="00BD1B7A">
        <w:rPr>
          <w:color w:val="auto"/>
          <w:szCs w:val="24"/>
        </w:rPr>
        <w:t xml:space="preserve">, ou qualquer outro defeito que comprometa a resistência da madeira; ferragem específica para estrutura abrangendo chapas, estribos, braçadeiras, chumbadores, pregos, parafusos e porcas em aço com acabamento galvanizado a fogo; materiais acessórios inclusos; equipamentos e a mão de obra necessária para a confecção e montagem de estrutura completa pontaletada, para cobertura de telhas onduladas em cimento reforçado com fio sintético, plástico, ou alumínio, constituída por: peças em madeira dispostas verticalmente, constituindo pilares apoiados sobre laje, </w:t>
      </w:r>
      <w:proofErr w:type="spellStart"/>
      <w:r w:rsidRPr="00BD1B7A">
        <w:rPr>
          <w:color w:val="auto"/>
          <w:szCs w:val="24"/>
        </w:rPr>
        <w:t>contraventados</w:t>
      </w:r>
      <w:proofErr w:type="spellEnd"/>
      <w:r w:rsidRPr="00BD1B7A">
        <w:rPr>
          <w:color w:val="auto"/>
          <w:szCs w:val="24"/>
        </w:rPr>
        <w:t xml:space="preserve"> com mãos francesas e / ou diagonais e trama com terças, caibros e ripas, nas dimensões conforme projeto aprovado pela Contratante e/ou Fiscalização e determinações na NBR 7190.</w:t>
      </w:r>
    </w:p>
    <w:p w:rsidR="00BD1B7A" w:rsidRDefault="00BD1B7A" w:rsidP="00BD1B7A">
      <w:pPr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rPr>
          <w:color w:val="auto"/>
          <w:szCs w:val="24"/>
        </w:rPr>
      </w:pPr>
    </w:p>
    <w:p w:rsidR="00BD1B7A" w:rsidRPr="00BD1B7A" w:rsidRDefault="00BD1B7A" w:rsidP="00BD1B7A">
      <w:pPr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rPr>
          <w:color w:val="auto"/>
          <w:szCs w:val="24"/>
        </w:rPr>
      </w:pPr>
    </w:p>
    <w:p w:rsidR="00DD656C" w:rsidRPr="00BD1B7A" w:rsidRDefault="00DD656C" w:rsidP="00DD656C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rPr>
          <w:color w:val="auto"/>
          <w:szCs w:val="24"/>
        </w:rPr>
      </w:pPr>
    </w:p>
    <w:p w:rsidR="00DD656C" w:rsidRPr="00BD1B7A" w:rsidRDefault="00DD656C" w:rsidP="00DD656C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rPr>
          <w:b/>
          <w:color w:val="auto"/>
          <w:szCs w:val="24"/>
        </w:rPr>
      </w:pPr>
      <w:r w:rsidRPr="00BD1B7A">
        <w:rPr>
          <w:b/>
          <w:color w:val="auto"/>
          <w:szCs w:val="24"/>
        </w:rPr>
        <w:lastRenderedPageBreak/>
        <w:t xml:space="preserve">2.2 </w:t>
      </w:r>
      <w:proofErr w:type="spellStart"/>
      <w:r w:rsidRPr="00BD1B7A">
        <w:rPr>
          <w:b/>
          <w:color w:val="auto"/>
          <w:szCs w:val="24"/>
        </w:rPr>
        <w:t>Telhamento</w:t>
      </w:r>
      <w:proofErr w:type="spellEnd"/>
      <w:r w:rsidRPr="00BD1B7A">
        <w:rPr>
          <w:b/>
          <w:color w:val="auto"/>
          <w:szCs w:val="24"/>
        </w:rPr>
        <w:t xml:space="preserve"> em cimento reforçado com fio sintético CRFS - perfil ondulado de 6mm</w:t>
      </w:r>
    </w:p>
    <w:p w:rsidR="00DD656C" w:rsidRPr="00BD1B7A" w:rsidRDefault="00DD656C" w:rsidP="00DD656C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rPr>
          <w:color w:val="auto"/>
          <w:szCs w:val="24"/>
        </w:rPr>
      </w:pPr>
      <w:r w:rsidRPr="00BD1B7A">
        <w:rPr>
          <w:color w:val="auto"/>
          <w:szCs w:val="24"/>
        </w:rPr>
        <w:t xml:space="preserve">Será medido pela área de </w:t>
      </w:r>
      <w:proofErr w:type="spellStart"/>
      <w:r w:rsidRPr="00BD1B7A">
        <w:rPr>
          <w:color w:val="auto"/>
          <w:szCs w:val="24"/>
        </w:rPr>
        <w:t>telhamento</w:t>
      </w:r>
      <w:proofErr w:type="spellEnd"/>
      <w:r w:rsidRPr="00BD1B7A">
        <w:rPr>
          <w:color w:val="auto"/>
          <w:szCs w:val="24"/>
        </w:rPr>
        <w:t xml:space="preserve"> (m²), sendo:</w:t>
      </w:r>
      <w:r w:rsidR="00B05E1F" w:rsidRPr="00BD1B7A">
        <w:rPr>
          <w:color w:val="auto"/>
          <w:szCs w:val="24"/>
        </w:rPr>
        <w:t xml:space="preserve"> </w:t>
      </w:r>
      <w:r w:rsidRPr="00BD1B7A">
        <w:rPr>
          <w:color w:val="auto"/>
          <w:szCs w:val="24"/>
        </w:rPr>
        <w:t>a) Quando plano, ou inclinado abaixo de 18%, pela área de cobertura em projeção horizontal, ou</w:t>
      </w:r>
      <w:r w:rsidR="00B05E1F" w:rsidRPr="00BD1B7A">
        <w:rPr>
          <w:color w:val="auto"/>
          <w:szCs w:val="24"/>
        </w:rPr>
        <w:t xml:space="preserve"> </w:t>
      </w:r>
      <w:r w:rsidRPr="00BD1B7A">
        <w:rPr>
          <w:color w:val="auto"/>
          <w:szCs w:val="24"/>
        </w:rPr>
        <w:t>pela área de vedação lateral em projeção vertical;</w:t>
      </w:r>
      <w:r w:rsidR="00B05E1F" w:rsidRPr="00BD1B7A">
        <w:rPr>
          <w:color w:val="auto"/>
          <w:szCs w:val="24"/>
        </w:rPr>
        <w:t xml:space="preserve"> </w:t>
      </w:r>
      <w:r w:rsidRPr="00BD1B7A">
        <w:rPr>
          <w:color w:val="auto"/>
          <w:szCs w:val="24"/>
        </w:rPr>
        <w:t>b) Quando inclinado a partir de 18%, pela área de cobertura em projeção horizontal, ou pela área</w:t>
      </w:r>
      <w:r w:rsidR="00B05E1F" w:rsidRPr="00BD1B7A">
        <w:rPr>
          <w:color w:val="auto"/>
          <w:szCs w:val="24"/>
        </w:rPr>
        <w:t xml:space="preserve"> </w:t>
      </w:r>
      <w:r w:rsidRPr="00BD1B7A">
        <w:rPr>
          <w:color w:val="auto"/>
          <w:szCs w:val="24"/>
        </w:rPr>
        <w:t>de vedação lateral em projeção vertical, com os acréscimos:</w:t>
      </w:r>
      <w:r w:rsidR="00B05E1F" w:rsidRPr="00BD1B7A">
        <w:rPr>
          <w:color w:val="auto"/>
          <w:szCs w:val="24"/>
        </w:rPr>
        <w:t xml:space="preserve"> </w:t>
      </w:r>
      <w:r w:rsidRPr="00BD1B7A">
        <w:rPr>
          <w:color w:val="auto"/>
          <w:szCs w:val="24"/>
        </w:rPr>
        <w:t>- 5% para coberturas de 18% a 27% de inclinação;</w:t>
      </w:r>
      <w:r w:rsidR="00B05E1F" w:rsidRPr="00BD1B7A">
        <w:rPr>
          <w:color w:val="auto"/>
          <w:szCs w:val="24"/>
        </w:rPr>
        <w:t xml:space="preserve"> </w:t>
      </w:r>
      <w:r w:rsidRPr="00BD1B7A">
        <w:rPr>
          <w:color w:val="auto"/>
          <w:szCs w:val="24"/>
        </w:rPr>
        <w:t>- 8% para coberturas de 28% a 38% de inclinação;</w:t>
      </w:r>
      <w:r w:rsidR="00B05E1F" w:rsidRPr="00BD1B7A">
        <w:rPr>
          <w:color w:val="auto"/>
          <w:szCs w:val="24"/>
        </w:rPr>
        <w:t xml:space="preserve"> </w:t>
      </w:r>
      <w:r w:rsidRPr="00BD1B7A">
        <w:rPr>
          <w:color w:val="auto"/>
          <w:szCs w:val="24"/>
        </w:rPr>
        <w:t>- 12% para coberturas de 39% a 50% de inclinação.</w:t>
      </w:r>
      <w:r w:rsidR="00B05E1F" w:rsidRPr="00BD1B7A">
        <w:rPr>
          <w:color w:val="auto"/>
          <w:szCs w:val="24"/>
        </w:rPr>
        <w:t xml:space="preserve"> </w:t>
      </w:r>
      <w:r w:rsidRPr="00BD1B7A">
        <w:rPr>
          <w:color w:val="auto"/>
          <w:szCs w:val="24"/>
        </w:rPr>
        <w:t>c) Quando curvo, pelo desenvolvimento da curvatura da cobertura.</w:t>
      </w:r>
      <w:r w:rsidR="00B05E1F" w:rsidRPr="00BD1B7A">
        <w:rPr>
          <w:color w:val="auto"/>
          <w:szCs w:val="24"/>
        </w:rPr>
        <w:t xml:space="preserve"> </w:t>
      </w:r>
      <w:r w:rsidRPr="00BD1B7A">
        <w:rPr>
          <w:color w:val="auto"/>
          <w:szCs w:val="24"/>
        </w:rPr>
        <w:t>2) O item remunera o fornecimento das telhas em chapa de cimento reforçado com fio sintético</w:t>
      </w:r>
      <w:r w:rsidR="00B05E1F" w:rsidRPr="00BD1B7A">
        <w:rPr>
          <w:color w:val="auto"/>
          <w:szCs w:val="24"/>
        </w:rPr>
        <w:t xml:space="preserve"> </w:t>
      </w:r>
      <w:r w:rsidRPr="00BD1B7A">
        <w:rPr>
          <w:color w:val="auto"/>
          <w:szCs w:val="24"/>
        </w:rPr>
        <w:t>(CRFS), em perfil ondulado com 6 mm de espessura, em qualquer comprimento; referência</w:t>
      </w:r>
      <w:r w:rsidR="00B05E1F" w:rsidRPr="00BD1B7A">
        <w:rPr>
          <w:color w:val="auto"/>
          <w:szCs w:val="24"/>
        </w:rPr>
        <w:t xml:space="preserve"> </w:t>
      </w:r>
      <w:r w:rsidRPr="00BD1B7A">
        <w:rPr>
          <w:color w:val="auto"/>
          <w:szCs w:val="24"/>
        </w:rPr>
        <w:t>comercial fabricação Brasilit ou equivalente; materiais acessórios para a fixação das telhas em</w:t>
      </w:r>
      <w:r w:rsidR="00B05E1F" w:rsidRPr="00BD1B7A">
        <w:rPr>
          <w:color w:val="auto"/>
          <w:szCs w:val="24"/>
        </w:rPr>
        <w:t xml:space="preserve"> </w:t>
      </w:r>
      <w:r w:rsidRPr="00BD1B7A">
        <w:rPr>
          <w:color w:val="auto"/>
          <w:szCs w:val="24"/>
        </w:rPr>
        <w:t>estrutura de apoio, metálica, ou de madeira e a mão de obra necessária para o transporte interno à</w:t>
      </w:r>
      <w:r w:rsidR="00B05E1F" w:rsidRPr="00BD1B7A">
        <w:rPr>
          <w:color w:val="auto"/>
          <w:szCs w:val="24"/>
        </w:rPr>
        <w:t xml:space="preserve"> </w:t>
      </w:r>
      <w:r w:rsidRPr="00BD1B7A">
        <w:rPr>
          <w:color w:val="auto"/>
          <w:szCs w:val="24"/>
        </w:rPr>
        <w:t>obra, içamento e a montagem completa das telhas.</w:t>
      </w:r>
    </w:p>
    <w:p w:rsidR="00DD656C" w:rsidRPr="00BD1B7A" w:rsidRDefault="00DD656C" w:rsidP="00DD656C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rPr>
          <w:color w:val="auto"/>
          <w:szCs w:val="24"/>
        </w:rPr>
      </w:pPr>
    </w:p>
    <w:p w:rsidR="00B05E1F" w:rsidRPr="00BD1B7A" w:rsidRDefault="00B05E1F" w:rsidP="00DD656C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rPr>
          <w:b/>
          <w:color w:val="auto"/>
          <w:szCs w:val="24"/>
        </w:rPr>
      </w:pPr>
      <w:r w:rsidRPr="00BD1B7A">
        <w:rPr>
          <w:b/>
          <w:color w:val="auto"/>
          <w:szCs w:val="24"/>
        </w:rPr>
        <w:t>2.3 Cumeeira normal em cimento reforçado com fio sintético CRFS - perfil ondulado</w:t>
      </w:r>
    </w:p>
    <w:p w:rsidR="00DD656C" w:rsidRPr="00BD1B7A" w:rsidRDefault="00B05E1F" w:rsidP="00B05E1F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jc w:val="left"/>
        <w:rPr>
          <w:bCs/>
          <w:szCs w:val="24"/>
        </w:rPr>
      </w:pPr>
      <w:r w:rsidRPr="00BD1B7A">
        <w:rPr>
          <w:bCs/>
          <w:szCs w:val="24"/>
        </w:rPr>
        <w:t>Será medido por comprimento de cumeeira executada (m). O item remunera o fornecimento das peças de cumeeira nos modelos: normal, e normal terminal, com ângulos variáveis de 10º (graus) até 30º (graus), em cimento reforçado com fio sintético (CRFS), para perfil ondulado; referência comercial da Brasilit ou equivalente; materiais acessórios para a fixação das peças em estrutura de apoio, metálica, ou de madeira e a mão de obra necessária para o transporte interno à obra, içamento e a montagem completa da cumeeira.</w:t>
      </w:r>
    </w:p>
    <w:p w:rsidR="00B05E1F" w:rsidRPr="00BD1B7A" w:rsidRDefault="00B05E1F" w:rsidP="00B05E1F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jc w:val="left"/>
        <w:rPr>
          <w:bCs/>
          <w:szCs w:val="24"/>
        </w:rPr>
      </w:pPr>
    </w:p>
    <w:p w:rsidR="00B05E1F" w:rsidRPr="00BD1B7A" w:rsidRDefault="00B05E1F" w:rsidP="00B05E1F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jc w:val="left"/>
        <w:rPr>
          <w:b/>
          <w:bCs/>
          <w:szCs w:val="24"/>
        </w:rPr>
      </w:pPr>
      <w:r w:rsidRPr="00BD1B7A">
        <w:rPr>
          <w:b/>
          <w:bCs/>
          <w:szCs w:val="24"/>
        </w:rPr>
        <w:t>2.4 Testeira em tábua aparelhada, largura até 20cm</w:t>
      </w:r>
    </w:p>
    <w:p w:rsidR="00B05E1F" w:rsidRPr="00BD1B7A" w:rsidRDefault="00B05E1F" w:rsidP="00B05E1F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jc w:val="left"/>
        <w:rPr>
          <w:bCs/>
          <w:szCs w:val="24"/>
        </w:rPr>
      </w:pPr>
      <w:r w:rsidRPr="00BD1B7A">
        <w:rPr>
          <w:bCs/>
          <w:szCs w:val="24"/>
        </w:rPr>
        <w:t xml:space="preserve">Será medido por comprimento de testeira executada (m). O item remunera o fornecimento de tábua aparelhada em </w:t>
      </w:r>
      <w:proofErr w:type="spellStart"/>
      <w:r w:rsidRPr="00BD1B7A">
        <w:rPr>
          <w:bCs/>
          <w:szCs w:val="24"/>
        </w:rPr>
        <w:t>Cupiúba</w:t>
      </w:r>
      <w:proofErr w:type="spellEnd"/>
      <w:r w:rsidRPr="00BD1B7A">
        <w:rPr>
          <w:bCs/>
          <w:szCs w:val="24"/>
        </w:rPr>
        <w:t xml:space="preserve"> (</w:t>
      </w:r>
      <w:proofErr w:type="spellStart"/>
      <w:r w:rsidRPr="00BD1B7A">
        <w:rPr>
          <w:bCs/>
          <w:szCs w:val="24"/>
        </w:rPr>
        <w:t>Goupia</w:t>
      </w:r>
      <w:proofErr w:type="spellEnd"/>
      <w:r w:rsidRPr="00BD1B7A">
        <w:rPr>
          <w:bCs/>
          <w:szCs w:val="24"/>
        </w:rPr>
        <w:t xml:space="preserve"> glabra), ou Maçaranduba (</w:t>
      </w:r>
      <w:proofErr w:type="spellStart"/>
      <w:r w:rsidRPr="00BD1B7A">
        <w:rPr>
          <w:bCs/>
          <w:szCs w:val="24"/>
        </w:rPr>
        <w:t>Manilkara</w:t>
      </w:r>
      <w:proofErr w:type="spellEnd"/>
      <w:r w:rsidRPr="00BD1B7A">
        <w:rPr>
          <w:bCs/>
          <w:szCs w:val="24"/>
        </w:rPr>
        <w:t xml:space="preserve"> </w:t>
      </w:r>
      <w:proofErr w:type="spellStart"/>
      <w:r w:rsidRPr="00BD1B7A">
        <w:rPr>
          <w:bCs/>
          <w:szCs w:val="24"/>
        </w:rPr>
        <w:t>spp</w:t>
      </w:r>
      <w:proofErr w:type="spellEnd"/>
      <w:r w:rsidRPr="00BD1B7A">
        <w:rPr>
          <w:bCs/>
          <w:szCs w:val="24"/>
        </w:rPr>
        <w:t xml:space="preserve">), conhecida também como </w:t>
      </w:r>
      <w:proofErr w:type="spellStart"/>
      <w:r w:rsidRPr="00BD1B7A">
        <w:rPr>
          <w:bCs/>
          <w:szCs w:val="24"/>
        </w:rPr>
        <w:t>Paraju</w:t>
      </w:r>
      <w:proofErr w:type="spellEnd"/>
      <w:r w:rsidRPr="00BD1B7A">
        <w:rPr>
          <w:bCs/>
          <w:szCs w:val="24"/>
        </w:rPr>
        <w:t>, de 20 cm; materiais acessórios e a mão de obra necessária para a execução da testeira.</w:t>
      </w:r>
    </w:p>
    <w:p w:rsidR="00B05E1F" w:rsidRPr="00BD1B7A" w:rsidRDefault="00B05E1F" w:rsidP="00B05E1F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jc w:val="left"/>
        <w:rPr>
          <w:bCs/>
          <w:szCs w:val="24"/>
        </w:rPr>
      </w:pPr>
    </w:p>
    <w:p w:rsidR="00B05E1F" w:rsidRPr="00BD1B7A" w:rsidRDefault="00B05E1F" w:rsidP="00B05E1F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jc w:val="left"/>
        <w:rPr>
          <w:b/>
          <w:color w:val="auto"/>
          <w:szCs w:val="24"/>
        </w:rPr>
      </w:pPr>
      <w:r w:rsidRPr="00BD1B7A">
        <w:rPr>
          <w:b/>
          <w:color w:val="auto"/>
          <w:szCs w:val="24"/>
        </w:rPr>
        <w:t>3.0 ESQUADRIAS</w:t>
      </w:r>
    </w:p>
    <w:p w:rsidR="00B05E1F" w:rsidRPr="00BD1B7A" w:rsidRDefault="00B05E1F" w:rsidP="00B05E1F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jc w:val="left"/>
        <w:rPr>
          <w:b/>
          <w:color w:val="auto"/>
          <w:szCs w:val="24"/>
        </w:rPr>
      </w:pPr>
      <w:r w:rsidRPr="00BD1B7A">
        <w:rPr>
          <w:b/>
          <w:color w:val="auto"/>
          <w:szCs w:val="24"/>
        </w:rPr>
        <w:t>3.1 Porta veneziana de abrir em alumínio, linha comercial</w:t>
      </w:r>
    </w:p>
    <w:p w:rsidR="00B05E1F" w:rsidRPr="00BD1B7A" w:rsidRDefault="00B05E1F" w:rsidP="00B05E1F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jc w:val="left"/>
        <w:rPr>
          <w:color w:val="auto"/>
          <w:szCs w:val="24"/>
        </w:rPr>
      </w:pPr>
      <w:r w:rsidRPr="00BD1B7A">
        <w:rPr>
          <w:color w:val="auto"/>
          <w:szCs w:val="24"/>
        </w:rPr>
        <w:t xml:space="preserve">Será medido pela área da porta instalada (m²). O item remunera o fornecimento da </w:t>
      </w:r>
      <w:proofErr w:type="gramStart"/>
      <w:r w:rsidRPr="00BD1B7A">
        <w:rPr>
          <w:color w:val="auto"/>
          <w:szCs w:val="24"/>
        </w:rPr>
        <w:t>porta tipo veneziana</w:t>
      </w:r>
      <w:proofErr w:type="gramEnd"/>
      <w:r w:rsidRPr="00BD1B7A">
        <w:rPr>
          <w:color w:val="auto"/>
          <w:szCs w:val="24"/>
        </w:rPr>
        <w:t xml:space="preserve"> de abrir e batentes, linha comercial, em</w:t>
      </w:r>
    </w:p>
    <w:p w:rsidR="00B05E1F" w:rsidRPr="00BD1B7A" w:rsidRDefault="00B05E1F" w:rsidP="00B05E1F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jc w:val="left"/>
        <w:rPr>
          <w:color w:val="auto"/>
          <w:szCs w:val="24"/>
        </w:rPr>
      </w:pPr>
      <w:r w:rsidRPr="00BD1B7A">
        <w:rPr>
          <w:color w:val="auto"/>
          <w:szCs w:val="24"/>
        </w:rPr>
        <w:t>alumínio anodizado; inclusive ferragem, cimento, areia, acessórios e a mão de obra necessária para a instalação completa do caixilho.</w:t>
      </w:r>
    </w:p>
    <w:p w:rsidR="00B05E1F" w:rsidRPr="00BD1B7A" w:rsidRDefault="00B05E1F" w:rsidP="00B05E1F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jc w:val="left"/>
        <w:rPr>
          <w:bCs/>
          <w:szCs w:val="24"/>
        </w:rPr>
      </w:pPr>
    </w:p>
    <w:p w:rsidR="00B05E1F" w:rsidRPr="00BD1B7A" w:rsidRDefault="00B05E1F" w:rsidP="00B05E1F">
      <w:pPr>
        <w:pStyle w:val="PargrafodaLista"/>
        <w:suppressAutoHyphens w:val="0"/>
        <w:autoSpaceDE w:val="0"/>
        <w:autoSpaceDN w:val="0"/>
        <w:adjustRightInd w:val="0"/>
        <w:spacing w:after="0" w:line="240" w:lineRule="auto"/>
        <w:ind w:left="405" w:right="0" w:firstLine="0"/>
        <w:jc w:val="left"/>
        <w:rPr>
          <w:bCs/>
          <w:szCs w:val="24"/>
        </w:rPr>
      </w:pPr>
      <w:bookmarkStart w:id="0" w:name="_GoBack"/>
      <w:bookmarkEnd w:id="0"/>
    </w:p>
    <w:p w:rsidR="000A1F09" w:rsidRPr="00BD1B7A" w:rsidRDefault="000A1F09">
      <w:pPr>
        <w:spacing w:after="3" w:line="259" w:lineRule="auto"/>
        <w:ind w:left="0" w:right="590" w:firstLine="0"/>
        <w:jc w:val="center"/>
        <w:rPr>
          <w:szCs w:val="24"/>
        </w:rPr>
      </w:pPr>
    </w:p>
    <w:p w:rsidR="003510BA" w:rsidRPr="00BD1B7A" w:rsidRDefault="00BD1B7A" w:rsidP="00516EC1">
      <w:pPr>
        <w:jc w:val="right"/>
        <w:rPr>
          <w:sz w:val="20"/>
          <w:szCs w:val="24"/>
        </w:rPr>
      </w:pPr>
      <w:r w:rsidRPr="00BD1B7A">
        <w:rPr>
          <w:szCs w:val="24"/>
        </w:rPr>
        <w:t>Estância Turística de Ibitinga, 24 de setembro de 2025</w:t>
      </w:r>
      <w:r w:rsidR="00643F5E" w:rsidRPr="00BD1B7A">
        <w:rPr>
          <w:sz w:val="20"/>
          <w:szCs w:val="24"/>
        </w:rPr>
        <w:t>.</w:t>
      </w:r>
    </w:p>
    <w:p w:rsidR="003510BA" w:rsidRPr="00BD1B7A" w:rsidRDefault="003510BA">
      <w:pPr>
        <w:jc w:val="center"/>
        <w:rPr>
          <w:szCs w:val="24"/>
        </w:rPr>
      </w:pPr>
    </w:p>
    <w:p w:rsidR="00DF4139" w:rsidRPr="00BD1B7A" w:rsidRDefault="00DF4139" w:rsidP="000C1C29">
      <w:pPr>
        <w:ind w:left="0" w:firstLine="0"/>
        <w:rPr>
          <w:szCs w:val="24"/>
        </w:rPr>
      </w:pPr>
    </w:p>
    <w:p w:rsidR="00AB0308" w:rsidRPr="00BD1B7A" w:rsidRDefault="00AB0308" w:rsidP="000C1C29">
      <w:pPr>
        <w:ind w:left="0" w:firstLine="0"/>
        <w:rPr>
          <w:szCs w:val="24"/>
        </w:rPr>
      </w:pPr>
    </w:p>
    <w:p w:rsidR="00AB0308" w:rsidRPr="00BD1B7A" w:rsidRDefault="00AB0308" w:rsidP="000C1C29">
      <w:pPr>
        <w:ind w:left="0" w:firstLine="0"/>
        <w:rPr>
          <w:szCs w:val="24"/>
        </w:rPr>
      </w:pPr>
    </w:p>
    <w:p w:rsidR="003510BA" w:rsidRPr="00BD1B7A" w:rsidRDefault="003510BA" w:rsidP="00516EC1">
      <w:pPr>
        <w:ind w:left="0" w:firstLine="0"/>
        <w:rPr>
          <w:szCs w:val="24"/>
        </w:rPr>
      </w:pPr>
    </w:p>
    <w:p w:rsidR="00DF4139" w:rsidRPr="00BD1B7A" w:rsidRDefault="00DF4139" w:rsidP="00DF4139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b/>
          <w:szCs w:val="24"/>
        </w:rPr>
      </w:pPr>
      <w:r w:rsidRPr="00BD1B7A">
        <w:rPr>
          <w:rFonts w:ascii="Arial" w:eastAsia="Calibri" w:hAnsi="Arial" w:cs="Arial"/>
          <w:b/>
          <w:szCs w:val="24"/>
        </w:rPr>
        <w:t>Henrique Faustino do Nascimento Silva</w:t>
      </w:r>
    </w:p>
    <w:p w:rsidR="003510BA" w:rsidRPr="00BD1B7A" w:rsidRDefault="00DF4139" w:rsidP="00BE3D6B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szCs w:val="24"/>
        </w:rPr>
      </w:pPr>
      <w:r w:rsidRPr="00BD1B7A">
        <w:rPr>
          <w:rFonts w:ascii="Arial" w:hAnsi="Arial" w:cs="Arial"/>
          <w:szCs w:val="24"/>
        </w:rPr>
        <w:t>Secretário de Obras Públicas</w:t>
      </w:r>
    </w:p>
    <w:sectPr w:rsidR="003510BA" w:rsidRPr="00BD1B7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1418" w:header="284" w:footer="72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5B07" w:rsidRDefault="00165B07">
      <w:pPr>
        <w:spacing w:after="0" w:line="240" w:lineRule="auto"/>
      </w:pPr>
      <w:r>
        <w:separator/>
      </w:r>
    </w:p>
  </w:endnote>
  <w:endnote w:type="continuationSeparator" w:id="0">
    <w:p w:rsidR="00165B07" w:rsidRDefault="00165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roman"/>
    <w:pitch w:val="variable"/>
  </w:font>
  <w:font w:name="ArialMT">
    <w:altName w:val="Arial"/>
    <w:charset w:val="00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4A6" w:rsidRDefault="000004A6">
    <w:pPr>
      <w:pStyle w:val="Rodap"/>
      <w:jc w:val="center"/>
      <w:rPr>
        <w:color w:val="767171"/>
        <w:sz w:val="16"/>
        <w:szCs w:val="16"/>
      </w:rPr>
    </w:pPr>
    <w:r>
      <w:rPr>
        <w:noProof/>
      </w:rPr>
      <w:drawing>
        <wp:inline distT="0" distB="0" distL="0" distR="0">
          <wp:extent cx="5762625" cy="81407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004A6" w:rsidRDefault="000004A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4A6" w:rsidRDefault="000004A6">
    <w:pPr>
      <w:pStyle w:val="Rodap"/>
    </w:pPr>
    <w:r>
      <w:rPr>
        <w:noProof/>
      </w:rPr>
      <w:drawing>
        <wp:inline distT="0" distB="0" distL="0" distR="0">
          <wp:extent cx="5762625" cy="814070"/>
          <wp:effectExtent l="0" t="0" r="0" b="0"/>
          <wp:docPr id="4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5B07" w:rsidRDefault="00165B07">
      <w:pPr>
        <w:spacing w:after="0" w:line="240" w:lineRule="auto"/>
      </w:pPr>
      <w:r>
        <w:separator/>
      </w:r>
    </w:p>
  </w:footnote>
  <w:footnote w:type="continuationSeparator" w:id="0">
    <w:p w:rsidR="00165B07" w:rsidRDefault="00165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4A6" w:rsidRDefault="000004A6">
    <w:pPr>
      <w:spacing w:after="0" w:line="259" w:lineRule="auto"/>
      <w:ind w:left="0" w:right="0" w:firstLine="0"/>
      <w:jc w:val="left"/>
    </w:pPr>
    <w:r>
      <w:rPr>
        <w:rFonts w:ascii="Calibri" w:hAnsi="Calibri" w:cs="Calibri"/>
        <w:sz w:val="20"/>
      </w:rPr>
      <w:t xml:space="preserve"> </w:t>
    </w:r>
  </w:p>
  <w:p w:rsidR="000004A6" w:rsidRDefault="000004A6">
    <w:pPr>
      <w:spacing w:after="0" w:line="259" w:lineRule="auto"/>
      <w:ind w:left="0" w:right="602" w:firstLine="0"/>
      <w:jc w:val="center"/>
    </w:pPr>
    <w:r>
      <w:rPr>
        <w:b/>
        <w:sz w:val="28"/>
        <w:u w:val="single" w:color="000000"/>
      </w:rPr>
      <w:t xml:space="preserve">Continuação </w:t>
    </w:r>
    <w:r>
      <w:rPr>
        <w:b/>
        <w:sz w:val="28"/>
        <w:u w:val="single" w:color="000000"/>
        <w:shd w:val="clear" w:color="auto" w:fill="FFFF00"/>
      </w:rPr>
      <w:t>ANEXO 23</w:t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4A6" w:rsidRDefault="000004A6">
    <w:pPr>
      <w:pStyle w:val="Cabealho"/>
    </w:pPr>
    <w:r>
      <w:rPr>
        <w:noProof/>
      </w:rPr>
      <w:drawing>
        <wp:inline distT="0" distB="0" distL="0" distR="0">
          <wp:extent cx="5762625" cy="1083945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4A6" w:rsidRDefault="000004A6">
    <w:pPr>
      <w:spacing w:after="160" w:line="259" w:lineRule="auto"/>
      <w:ind w:left="0" w:right="0" w:firstLine="0"/>
      <w:jc w:val="left"/>
    </w:pPr>
    <w:r>
      <w:rPr>
        <w:noProof/>
      </w:rPr>
      <w:drawing>
        <wp:inline distT="0" distB="0" distL="0" distR="0">
          <wp:extent cx="5762625" cy="1083945"/>
          <wp:effectExtent l="0" t="0" r="0" b="0"/>
          <wp:docPr id="2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C4E70"/>
    <w:multiLevelType w:val="multilevel"/>
    <w:tmpl w:val="4A4822D6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6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cs="Times New Roman" w:hint="default"/>
      </w:rPr>
    </w:lvl>
  </w:abstractNum>
  <w:abstractNum w:abstractNumId="1" w15:restartNumberingAfterBreak="0">
    <w:nsid w:val="213533F9"/>
    <w:multiLevelType w:val="multilevel"/>
    <w:tmpl w:val="29C02F14"/>
    <w:lvl w:ilvl="0">
      <w:start w:val="1"/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602E187B"/>
    <w:multiLevelType w:val="multilevel"/>
    <w:tmpl w:val="D5B6382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0BA"/>
    <w:rsid w:val="000004A6"/>
    <w:rsid w:val="00091FB6"/>
    <w:rsid w:val="000A1F09"/>
    <w:rsid w:val="000C1C29"/>
    <w:rsid w:val="000D21D8"/>
    <w:rsid w:val="000E13D9"/>
    <w:rsid w:val="000E6553"/>
    <w:rsid w:val="001048CF"/>
    <w:rsid w:val="00125812"/>
    <w:rsid w:val="00142E3F"/>
    <w:rsid w:val="001448F9"/>
    <w:rsid w:val="00165B07"/>
    <w:rsid w:val="00191511"/>
    <w:rsid w:val="001927FD"/>
    <w:rsid w:val="001A084C"/>
    <w:rsid w:val="001F3292"/>
    <w:rsid w:val="00223549"/>
    <w:rsid w:val="002B3417"/>
    <w:rsid w:val="003510BA"/>
    <w:rsid w:val="00361DD1"/>
    <w:rsid w:val="00383E4E"/>
    <w:rsid w:val="003B0E6F"/>
    <w:rsid w:val="00472B6A"/>
    <w:rsid w:val="004A79D3"/>
    <w:rsid w:val="004C0EF8"/>
    <w:rsid w:val="004C7B82"/>
    <w:rsid w:val="004D3361"/>
    <w:rsid w:val="004E0DD0"/>
    <w:rsid w:val="00510C9C"/>
    <w:rsid w:val="00516EC1"/>
    <w:rsid w:val="0057298C"/>
    <w:rsid w:val="005C5774"/>
    <w:rsid w:val="005D1209"/>
    <w:rsid w:val="00617C3C"/>
    <w:rsid w:val="00643F5E"/>
    <w:rsid w:val="006B1216"/>
    <w:rsid w:val="00762734"/>
    <w:rsid w:val="0077727D"/>
    <w:rsid w:val="007B1F32"/>
    <w:rsid w:val="007B5A9B"/>
    <w:rsid w:val="008047E9"/>
    <w:rsid w:val="00843FBE"/>
    <w:rsid w:val="00851185"/>
    <w:rsid w:val="008920E9"/>
    <w:rsid w:val="00907C67"/>
    <w:rsid w:val="009777DA"/>
    <w:rsid w:val="00981610"/>
    <w:rsid w:val="00994E66"/>
    <w:rsid w:val="009A7546"/>
    <w:rsid w:val="00A06C9C"/>
    <w:rsid w:val="00A1534E"/>
    <w:rsid w:val="00A37781"/>
    <w:rsid w:val="00A57A1F"/>
    <w:rsid w:val="00AB0308"/>
    <w:rsid w:val="00AD2888"/>
    <w:rsid w:val="00B05978"/>
    <w:rsid w:val="00B05E1F"/>
    <w:rsid w:val="00BD1B7A"/>
    <w:rsid w:val="00BD2243"/>
    <w:rsid w:val="00BE3D6B"/>
    <w:rsid w:val="00BF7AD7"/>
    <w:rsid w:val="00CA64CE"/>
    <w:rsid w:val="00CD6EF5"/>
    <w:rsid w:val="00D452F6"/>
    <w:rsid w:val="00D60B54"/>
    <w:rsid w:val="00D729A9"/>
    <w:rsid w:val="00DD1930"/>
    <w:rsid w:val="00DD656C"/>
    <w:rsid w:val="00DF4139"/>
    <w:rsid w:val="00DF477F"/>
    <w:rsid w:val="00E41131"/>
    <w:rsid w:val="00E66A17"/>
    <w:rsid w:val="00EA4F3C"/>
    <w:rsid w:val="00EE41CD"/>
    <w:rsid w:val="00F034E4"/>
    <w:rsid w:val="00F07EA4"/>
    <w:rsid w:val="00F243AC"/>
    <w:rsid w:val="00F332F8"/>
    <w:rsid w:val="00F47AFB"/>
    <w:rsid w:val="00F52C8B"/>
    <w:rsid w:val="00F56835"/>
    <w:rsid w:val="00F6259D"/>
    <w:rsid w:val="00F86713"/>
    <w:rsid w:val="00FE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CFCF3"/>
  <w15:docId w15:val="{8741AC4D-5DC6-4B5E-AFBC-72BD66172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6C00"/>
    <w:pPr>
      <w:spacing w:after="5" w:line="247" w:lineRule="auto"/>
      <w:ind w:left="123" w:right="455" w:hanging="10"/>
      <w:jc w:val="both"/>
    </w:pPr>
    <w:rPr>
      <w:rFonts w:ascii="Arial" w:hAnsi="Arial" w:cs="Arial"/>
      <w:color w:val="000000"/>
    </w:rPr>
  </w:style>
  <w:style w:type="paragraph" w:styleId="Ttulo1">
    <w:name w:val="heading 1"/>
    <w:basedOn w:val="Normal"/>
    <w:next w:val="Normal"/>
    <w:link w:val="Ttulo1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0"/>
    </w:pPr>
    <w:rPr>
      <w:rFonts w:cs="Times New Roman"/>
      <w:b/>
    </w:rPr>
  </w:style>
  <w:style w:type="paragraph" w:styleId="Ttulo2">
    <w:name w:val="heading 2"/>
    <w:basedOn w:val="Normal"/>
    <w:next w:val="Normal"/>
    <w:link w:val="Ttulo2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1"/>
    </w:pPr>
    <w:rPr>
      <w:rFonts w:cs="Times New Roman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qFormat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Ttulo2Char">
    <w:name w:val="Título 2 Char"/>
    <w:basedOn w:val="Fontepargpadro"/>
    <w:link w:val="Ttulo2"/>
    <w:uiPriority w:val="99"/>
    <w:qFormat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RodapChar">
    <w:name w:val="Rodapé Char"/>
    <w:basedOn w:val="Fontepargpadro"/>
    <w:link w:val="Rodap"/>
    <w:uiPriority w:val="99"/>
    <w:qFormat/>
    <w:locked/>
    <w:rsid w:val="00EB6CE0"/>
    <w:rPr>
      <w:rFonts w:ascii="Arial" w:hAnsi="Arial" w:cs="Arial"/>
      <w:color w:val="000000"/>
    </w:rPr>
  </w:style>
  <w:style w:type="character" w:customStyle="1" w:styleId="CabealhoChar">
    <w:name w:val="Cabeçalho Char"/>
    <w:basedOn w:val="Fontepargpadro"/>
    <w:link w:val="Cabealho"/>
    <w:uiPriority w:val="99"/>
    <w:qFormat/>
    <w:locked/>
    <w:rsid w:val="00B51613"/>
    <w:rPr>
      <w:rFonts w:cs="Times New Roman"/>
    </w:rPr>
  </w:style>
  <w:style w:type="character" w:customStyle="1" w:styleId="fontstyle01">
    <w:name w:val="fontstyle01"/>
    <w:basedOn w:val="Fontepargpadro"/>
    <w:qFormat/>
    <w:rsid w:val="00C04118"/>
    <w:rPr>
      <w:rFonts w:ascii="Arial-BoldMT" w:hAnsi="Arial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C04118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Fontepargpadro"/>
    <w:qFormat/>
    <w:rsid w:val="00E3172E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Normal"/>
    <w:link w:val="RodapChar"/>
    <w:uiPriority w:val="99"/>
    <w:rsid w:val="00EB6CE0"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har"/>
    <w:uiPriority w:val="99"/>
    <w:rsid w:val="00B51613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="Calibri" w:hAnsi="Calibri" w:cs="Times New Roman"/>
      <w:color w:val="auto"/>
    </w:rPr>
  </w:style>
  <w:style w:type="paragraph" w:customStyle="1" w:styleId="Default">
    <w:name w:val="Default"/>
    <w:qFormat/>
    <w:rsid w:val="00682C8D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6658B1"/>
    <w:pPr>
      <w:ind w:left="720"/>
      <w:contextualSpacing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DF4139"/>
  </w:style>
  <w:style w:type="paragraph" w:styleId="Recuodecorpodetexto">
    <w:name w:val="Body Text Indent"/>
    <w:basedOn w:val="Normal"/>
    <w:link w:val="RecuodecorpodetextoChar"/>
    <w:uiPriority w:val="99"/>
    <w:unhideWhenUsed/>
    <w:rsid w:val="00DF4139"/>
    <w:pPr>
      <w:spacing w:after="120" w:line="276" w:lineRule="auto"/>
      <w:ind w:left="283" w:right="0" w:firstLine="0"/>
      <w:jc w:val="left"/>
    </w:pPr>
    <w:rPr>
      <w:rFonts w:ascii="Calibri" w:hAnsi="Calibri" w:cs="Times New Roman"/>
      <w:color w:val="auto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F4139"/>
    <w:rPr>
      <w:rFonts w:ascii="Arial" w:hAnsi="Arial" w:cs="Arial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21D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C13DB-6AFE-414F-99F0-9B16A643A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2</Pages>
  <Words>779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dc:description/>
  <cp:lastModifiedBy>Diretor</cp:lastModifiedBy>
  <cp:revision>107</cp:revision>
  <cp:lastPrinted>2025-03-26T14:32:00Z</cp:lastPrinted>
  <dcterms:created xsi:type="dcterms:W3CDTF">2024-04-24T12:07:00Z</dcterms:created>
  <dcterms:modified xsi:type="dcterms:W3CDTF">2025-09-26T12:34:00Z</dcterms:modified>
  <dc:language>pt-BR</dc:language>
</cp:coreProperties>
</file>